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AA5A7" w14:textId="47777251" w:rsidR="00DF23E9" w:rsidRPr="00F83854" w:rsidRDefault="00DF23E9" w:rsidP="00F8385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83854">
        <w:rPr>
          <w:b/>
          <w:bCs/>
          <w:sz w:val="32"/>
          <w:szCs w:val="32"/>
        </w:rPr>
        <w:t>COMPILATION OF REGULATIONS</w:t>
      </w:r>
    </w:p>
    <w:p w14:paraId="65C6A0AE" w14:textId="1317FCFA" w:rsidR="008A5DE6" w:rsidRDefault="00DF23E9" w:rsidP="00F8385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83854">
        <w:rPr>
          <w:b/>
          <w:bCs/>
          <w:sz w:val="32"/>
          <w:szCs w:val="32"/>
        </w:rPr>
        <w:t>INSTRUCTIONS FOR ENTERPRISE IN THE CONTEXT OF COVID-19</w:t>
      </w:r>
    </w:p>
    <w:p w14:paraId="1A50C044" w14:textId="77777777" w:rsidR="00BF2484" w:rsidRPr="00F83854" w:rsidRDefault="00BF2484" w:rsidP="00F83854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28A9C2E0" w14:textId="0DE87206" w:rsidR="00DF23E9" w:rsidRDefault="00DF23E9" w:rsidP="00DF23E9">
      <w:pPr>
        <w:pStyle w:val="ListParagraph"/>
        <w:numPr>
          <w:ilvl w:val="0"/>
          <w:numId w:val="1"/>
        </w:numPr>
        <w:shd w:val="clear" w:color="auto" w:fill="D9E2F3" w:themeFill="accent1" w:themeFillTint="33"/>
        <w:tabs>
          <w:tab w:val="left" w:pos="360"/>
        </w:tabs>
        <w:ind w:left="360"/>
      </w:pPr>
      <w:r w:rsidRPr="00DF23E9">
        <w:rPr>
          <w:b/>
        </w:rPr>
        <w:t xml:space="preserve">List of essential goods and goods banned/restricted from commercialization </w:t>
      </w:r>
      <w:r>
        <w:rPr>
          <w:b/>
        </w:rPr>
        <w:t xml:space="preserve">in the context of </w:t>
      </w:r>
      <w:r w:rsidRPr="00DF23E9">
        <w:rPr>
          <w:b/>
        </w:rPr>
        <w:t xml:space="preserve">COVID-19 </w:t>
      </w:r>
    </w:p>
    <w:p w14:paraId="3415D660" w14:textId="5E35A9DF" w:rsidR="00DF23E9" w:rsidRPr="00DF23E9" w:rsidRDefault="00DF23E9" w:rsidP="00DF23E9">
      <w:pPr>
        <w:pStyle w:val="ListParagraph"/>
        <w:numPr>
          <w:ilvl w:val="1"/>
          <w:numId w:val="1"/>
        </w:numPr>
        <w:spacing w:before="120" w:after="120" w:line="240" w:lineRule="auto"/>
        <w:ind w:left="360"/>
        <w:rPr>
          <w:rStyle w:val="Hyperlink"/>
          <w:u w:val="none"/>
        </w:rPr>
      </w:pPr>
      <w:r w:rsidRPr="00DF23E9">
        <w:rPr>
          <w:rStyle w:val="Hyperlink"/>
          <w:rFonts w:ascii="Calibri" w:eastAsia="Times New Roman" w:hAnsi="Calibri" w:cs="Calibri"/>
          <w:color w:val="000000" w:themeColor="text1"/>
          <w:u w:val="none"/>
        </w:rPr>
        <w:t xml:space="preserve">Official Dispatch 4481/BCT-TTTN dated 2021 regarding essential goods and services issued by the Ministry of Industry and Trade </w:t>
      </w:r>
      <w:r w:rsidRPr="008971D9">
        <w:rPr>
          <w:rStyle w:val="Hyperlink"/>
          <w:rFonts w:ascii="Calibri" w:eastAsia="Times New Roman" w:hAnsi="Calibri" w:cs="Calibri"/>
          <w:color w:val="000000" w:themeColor="text1"/>
          <w:u w:val="none"/>
        </w:rPr>
        <w:fldChar w:fldCharType="begin"/>
      </w:r>
      <w:r w:rsidRPr="00DF23E9">
        <w:rPr>
          <w:rStyle w:val="Hyperlink"/>
          <w:rFonts w:ascii="Calibri" w:eastAsia="Times New Roman" w:hAnsi="Calibri" w:cs="Calibri"/>
          <w:color w:val="000000" w:themeColor="text1"/>
          <w:u w:val="none"/>
        </w:rPr>
        <w:instrText xml:space="preserve"> HYPERLINK "https://usasean-my.sharepoint.com/:w:/g/personal/pnguyen_usasean_org1/ER4OPZiIVMhKkCFvSKh5p8EB0tm-BV3jtsqB4q8w5u88pQ?e=3QWZS2" </w:instrText>
      </w:r>
      <w:r w:rsidRPr="008971D9">
        <w:rPr>
          <w:rStyle w:val="Hyperlink"/>
          <w:rFonts w:ascii="Calibri" w:eastAsia="Times New Roman" w:hAnsi="Calibri" w:cs="Calibri"/>
          <w:color w:val="000000" w:themeColor="text1"/>
          <w:u w:val="none"/>
        </w:rPr>
        <w:fldChar w:fldCharType="separate"/>
      </w:r>
    </w:p>
    <w:p w14:paraId="44CDE489" w14:textId="77777777" w:rsidR="00DF23E9" w:rsidRPr="008971D9" w:rsidRDefault="00DF23E9" w:rsidP="00DF23E9">
      <w:pPr>
        <w:pStyle w:val="ListParagraph"/>
        <w:spacing w:before="120" w:after="120" w:line="240" w:lineRule="auto"/>
        <w:ind w:left="360"/>
        <w:rPr>
          <w:rStyle w:val="Hyperlink"/>
        </w:rPr>
      </w:pPr>
      <w:r w:rsidRPr="008971D9">
        <w:rPr>
          <w:rStyle w:val="Hyperlink"/>
          <w:rFonts w:ascii="Calibri" w:eastAsia="Times New Roman" w:hAnsi="Calibri" w:cs="Calibri"/>
          <w:color w:val="000000" w:themeColor="text1"/>
        </w:rPr>
        <w:fldChar w:fldCharType="end"/>
      </w:r>
    </w:p>
    <w:p w14:paraId="29C5366F" w14:textId="12CEEED4" w:rsidR="00DF23E9" w:rsidRPr="00F83854" w:rsidRDefault="00DF23E9" w:rsidP="0047780B">
      <w:pPr>
        <w:pStyle w:val="ListParagraph"/>
        <w:numPr>
          <w:ilvl w:val="1"/>
          <w:numId w:val="1"/>
        </w:numPr>
        <w:spacing w:before="120" w:after="120" w:line="240" w:lineRule="auto"/>
        <w:ind w:left="360"/>
        <w:rPr>
          <w:rStyle w:val="Hyperlink"/>
          <w:u w:val="none"/>
        </w:rPr>
      </w:pPr>
      <w:r w:rsidRPr="0047780B">
        <w:rPr>
          <w:rStyle w:val="Hyperlink"/>
          <w:rFonts w:ascii="Calibri" w:eastAsia="Times New Roman" w:hAnsi="Calibri" w:cs="Calibri"/>
          <w:color w:val="000000" w:themeColor="text1"/>
          <w:u w:val="none"/>
        </w:rPr>
        <w:t xml:space="preserve">Official Dispatch 4482/BCT-TTTN </w:t>
      </w:r>
      <w:r w:rsidR="0047780B" w:rsidRPr="0047780B">
        <w:rPr>
          <w:rStyle w:val="Hyperlink"/>
          <w:rFonts w:ascii="Calibri" w:eastAsia="Times New Roman" w:hAnsi="Calibri" w:cs="Calibri"/>
          <w:color w:val="000000" w:themeColor="text1"/>
          <w:u w:val="none"/>
        </w:rPr>
        <w:t xml:space="preserve">dated 2021 proposing the list of goods and services restricted or banned from commercialization during the implementation of Directive 16 – proposed by the Ministry of Industry and Trade to the Government  </w:t>
      </w:r>
      <w:r w:rsidRPr="008971D9">
        <w:rPr>
          <w:rStyle w:val="Hyperlink"/>
          <w:rFonts w:ascii="Calibri" w:eastAsia="Times New Roman" w:hAnsi="Calibri" w:cs="Calibri"/>
          <w:color w:val="000000" w:themeColor="text1"/>
          <w:u w:val="none"/>
        </w:rPr>
        <w:fldChar w:fldCharType="begin"/>
      </w:r>
      <w:r w:rsidRPr="00F83854">
        <w:rPr>
          <w:rStyle w:val="Hyperlink"/>
          <w:rFonts w:ascii="Calibri" w:eastAsia="Times New Roman" w:hAnsi="Calibri" w:cs="Calibri"/>
          <w:color w:val="000000" w:themeColor="text1"/>
          <w:u w:val="none"/>
        </w:rPr>
        <w:instrText xml:space="preserve"> HYPERLINK "https://usasean-my.sharepoint.com/:w:/g/personal/pnguyen_usasean_org1/EVSnvvt43LFHhR3SfHxn22wBz-NWPAbU7aLutJbEvzT-ZA?e=PYVPCe" </w:instrText>
      </w:r>
      <w:r w:rsidRPr="008971D9">
        <w:rPr>
          <w:rStyle w:val="Hyperlink"/>
          <w:rFonts w:ascii="Calibri" w:eastAsia="Times New Roman" w:hAnsi="Calibri" w:cs="Calibri"/>
          <w:color w:val="000000" w:themeColor="text1"/>
          <w:u w:val="none"/>
        </w:rPr>
        <w:fldChar w:fldCharType="separate"/>
      </w:r>
    </w:p>
    <w:p w14:paraId="434C1208" w14:textId="21CFFCD0" w:rsidR="0047780B" w:rsidRDefault="0047780B" w:rsidP="0047780B">
      <w:pPr>
        <w:pStyle w:val="ListParagraph"/>
        <w:numPr>
          <w:ilvl w:val="0"/>
          <w:numId w:val="1"/>
        </w:numPr>
        <w:shd w:val="clear" w:color="auto" w:fill="D9E2F3" w:themeFill="accent1" w:themeFillTint="33"/>
        <w:tabs>
          <w:tab w:val="left" w:pos="360"/>
        </w:tabs>
        <w:ind w:left="360"/>
      </w:pPr>
      <w:r>
        <w:rPr>
          <w:b/>
        </w:rPr>
        <w:t>Regulations and guidelines related to traffic and transportation (import/export, transport through areas under Directive 16)</w:t>
      </w:r>
      <w:r w:rsidRPr="00DF23E9">
        <w:rPr>
          <w:b/>
        </w:rPr>
        <w:t xml:space="preserve"> </w:t>
      </w:r>
    </w:p>
    <w:p w14:paraId="6D02ACEE" w14:textId="511FF929" w:rsidR="0047780B" w:rsidRPr="0047780B" w:rsidRDefault="00DF23E9" w:rsidP="0047780B">
      <w:pPr>
        <w:rPr>
          <w:rStyle w:val="Hyperlink"/>
          <w:rFonts w:ascii="Calibri" w:eastAsia="Times New Roman" w:hAnsi="Calibri" w:cs="Calibri"/>
          <w:color w:val="000000" w:themeColor="text1"/>
          <w:u w:val="none"/>
        </w:rPr>
      </w:pPr>
      <w:r w:rsidRPr="008971D9">
        <w:rPr>
          <w:rStyle w:val="Hyperlink"/>
          <w:rFonts w:ascii="Calibri" w:eastAsia="Times New Roman" w:hAnsi="Calibri" w:cs="Calibri"/>
          <w:color w:val="000000" w:themeColor="text1"/>
        </w:rPr>
        <w:fldChar w:fldCharType="end"/>
      </w:r>
      <w:r w:rsidR="0047780B" w:rsidRPr="0047780B">
        <w:rPr>
          <w:rStyle w:val="Hyperlink"/>
          <w:rFonts w:ascii="Calibri" w:eastAsia="Times New Roman" w:hAnsi="Calibri" w:cs="Calibri"/>
          <w:color w:val="000000" w:themeColor="text1"/>
          <w:u w:val="none"/>
        </w:rPr>
        <w:t>Regulations for transport activities through the area</w:t>
      </w:r>
      <w:r w:rsidR="0047780B">
        <w:rPr>
          <w:rStyle w:val="Hyperlink"/>
          <w:rFonts w:ascii="Calibri" w:eastAsia="Times New Roman" w:hAnsi="Calibri" w:cs="Calibri"/>
          <w:color w:val="000000" w:themeColor="text1"/>
          <w:u w:val="none"/>
        </w:rPr>
        <w:t>s</w:t>
      </w:r>
      <w:r w:rsidR="0047780B" w:rsidRPr="0047780B">
        <w:rPr>
          <w:rStyle w:val="Hyperlink"/>
          <w:rFonts w:ascii="Calibri" w:eastAsia="Times New Roman" w:hAnsi="Calibri" w:cs="Calibri"/>
          <w:color w:val="000000" w:themeColor="text1"/>
          <w:u w:val="none"/>
        </w:rPr>
        <w:t xml:space="preserve"> </w:t>
      </w:r>
      <w:r w:rsidR="0047780B">
        <w:rPr>
          <w:rStyle w:val="Hyperlink"/>
          <w:rFonts w:ascii="Calibri" w:eastAsia="Times New Roman" w:hAnsi="Calibri" w:cs="Calibri"/>
          <w:color w:val="000000" w:themeColor="text1"/>
          <w:u w:val="none"/>
        </w:rPr>
        <w:t xml:space="preserve">implementing </w:t>
      </w:r>
      <w:r w:rsidR="0047780B" w:rsidRPr="0047780B">
        <w:rPr>
          <w:rStyle w:val="Hyperlink"/>
          <w:rFonts w:ascii="Calibri" w:eastAsia="Times New Roman" w:hAnsi="Calibri" w:cs="Calibri"/>
          <w:color w:val="000000" w:themeColor="text1"/>
          <w:u w:val="none"/>
        </w:rPr>
        <w:t xml:space="preserve">Directive 16: cases where it is necessary and unnecessary to check </w:t>
      </w:r>
      <w:r w:rsidR="0047780B">
        <w:rPr>
          <w:rStyle w:val="Hyperlink"/>
          <w:rFonts w:ascii="Calibri" w:eastAsia="Times New Roman" w:hAnsi="Calibri" w:cs="Calibri"/>
          <w:color w:val="000000" w:themeColor="text1"/>
          <w:u w:val="none"/>
        </w:rPr>
        <w:t xml:space="preserve">for </w:t>
      </w:r>
      <w:r w:rsidR="0047780B" w:rsidRPr="0047780B">
        <w:rPr>
          <w:rStyle w:val="Hyperlink"/>
          <w:rFonts w:ascii="Calibri" w:eastAsia="Times New Roman" w:hAnsi="Calibri" w:cs="Calibri"/>
          <w:color w:val="000000" w:themeColor="text1"/>
          <w:u w:val="none"/>
        </w:rPr>
        <w:t>the certificate of SARS-CoV-2</w:t>
      </w:r>
      <w:r w:rsidR="0047780B">
        <w:rPr>
          <w:rStyle w:val="Hyperlink"/>
          <w:rFonts w:ascii="Calibri" w:eastAsia="Times New Roman" w:hAnsi="Calibri" w:cs="Calibri"/>
          <w:color w:val="000000" w:themeColor="text1"/>
          <w:u w:val="none"/>
        </w:rPr>
        <w:t xml:space="preserve"> tests</w:t>
      </w:r>
      <w:r w:rsidR="0047780B" w:rsidRPr="0047780B">
        <w:rPr>
          <w:rStyle w:val="Hyperlink"/>
          <w:rFonts w:ascii="Calibri" w:eastAsia="Times New Roman" w:hAnsi="Calibri" w:cs="Calibri"/>
          <w:color w:val="000000" w:themeColor="text1"/>
          <w:u w:val="none"/>
        </w:rPr>
        <w:t xml:space="preserve">, safety instructions for transport vehicle drivers, etc. </w:t>
      </w:r>
      <w:r w:rsidR="0047780B">
        <w:rPr>
          <w:rStyle w:val="Hyperlink"/>
          <w:rFonts w:ascii="Calibri" w:eastAsia="Times New Roman" w:hAnsi="Calibri" w:cs="Calibri"/>
          <w:color w:val="000000" w:themeColor="text1"/>
          <w:u w:val="none"/>
        </w:rPr>
        <w:t xml:space="preserve">are based on </w:t>
      </w:r>
      <w:r w:rsidR="0047780B" w:rsidRPr="0047780B">
        <w:rPr>
          <w:rStyle w:val="Hyperlink"/>
          <w:rFonts w:ascii="Calibri" w:eastAsia="Times New Roman" w:hAnsi="Calibri" w:cs="Calibri"/>
          <w:color w:val="000000" w:themeColor="text1"/>
          <w:u w:val="none"/>
        </w:rPr>
        <w:t>the following documents:</w:t>
      </w:r>
    </w:p>
    <w:p w14:paraId="5709C444" w14:textId="2A4D9AD4" w:rsidR="0047780B" w:rsidRPr="00CC12CD" w:rsidRDefault="0047780B" w:rsidP="0026711D">
      <w:pPr>
        <w:pStyle w:val="ListParagraph"/>
        <w:numPr>
          <w:ilvl w:val="1"/>
          <w:numId w:val="1"/>
        </w:numPr>
        <w:ind w:left="369"/>
      </w:pPr>
      <w:r w:rsidRPr="0047780B">
        <w:rPr>
          <w:color w:val="000000"/>
        </w:rPr>
        <w:t>Directive on the testing and creating favorable conditions for cargo carriers – Official Dispatch 5752</w:t>
      </w:r>
      <w:r>
        <w:rPr>
          <w:color w:val="000000"/>
        </w:rPr>
        <w:t>/</w:t>
      </w:r>
      <w:r w:rsidRPr="0047780B">
        <w:rPr>
          <w:color w:val="000000"/>
        </w:rPr>
        <w:t xml:space="preserve">BYT issued by the Ministry of Health dated July 19, 2021. </w:t>
      </w:r>
    </w:p>
    <w:p w14:paraId="7E398D2E" w14:textId="77777777" w:rsidR="00CC12CD" w:rsidRPr="00665DEE" w:rsidRDefault="00CC12CD" w:rsidP="00CC12CD">
      <w:pPr>
        <w:pStyle w:val="ListParagraph"/>
        <w:ind w:left="369"/>
      </w:pPr>
    </w:p>
    <w:p w14:paraId="12FF4AD9" w14:textId="3AA8B459" w:rsidR="00CC12CD" w:rsidRDefault="0047780B" w:rsidP="00CC12CD">
      <w:pPr>
        <w:pStyle w:val="ListParagraph"/>
        <w:numPr>
          <w:ilvl w:val="1"/>
          <w:numId w:val="1"/>
        </w:numPr>
        <w:ind w:left="369"/>
      </w:pPr>
      <w:r>
        <w:t xml:space="preserve">Directive to creating favorable conditions for vehicles </w:t>
      </w:r>
      <w:r w:rsidR="00CC12CD">
        <w:t xml:space="preserve">transporting essential goods, </w:t>
      </w:r>
      <w:proofErr w:type="gramStart"/>
      <w:r w:rsidR="00CC12CD">
        <w:t>worker</w:t>
      </w:r>
      <w:proofErr w:type="gramEnd"/>
      <w:r w:rsidR="00CC12CD">
        <w:t xml:space="preserve"> and expert shuttles, traveling to, from, or through areas implementing Directive 16 – Official Dispatch </w:t>
      </w:r>
      <w:r w:rsidRPr="00CC12CD">
        <w:t>7630/BGTVT-VT</w:t>
      </w:r>
      <w:r>
        <w:t xml:space="preserve"> </w:t>
      </w:r>
      <w:r w:rsidR="00CC12CD">
        <w:t xml:space="preserve">issued by the Ministry of Transport dated July 27, 2021. </w:t>
      </w:r>
    </w:p>
    <w:p w14:paraId="75A14BC0" w14:textId="183DF905" w:rsidR="00CC12CD" w:rsidRDefault="00CC12CD" w:rsidP="00CC12CD">
      <w:pPr>
        <w:pStyle w:val="ListParagraph"/>
        <w:numPr>
          <w:ilvl w:val="0"/>
          <w:numId w:val="1"/>
        </w:numPr>
        <w:shd w:val="clear" w:color="auto" w:fill="D9E2F3" w:themeFill="accent1" w:themeFillTint="33"/>
        <w:tabs>
          <w:tab w:val="left" w:pos="360"/>
        </w:tabs>
        <w:ind w:left="360"/>
        <w:rPr>
          <w:b/>
          <w:bCs/>
        </w:rPr>
      </w:pPr>
      <w:r w:rsidRPr="00CC12CD">
        <w:rPr>
          <w:b/>
          <w:bCs/>
        </w:rPr>
        <w:t xml:space="preserve">Regulations and guidelines related to the operation at companies, production activities at factories (safety regulations, 3T, etc.) </w:t>
      </w:r>
    </w:p>
    <w:p w14:paraId="312513A8" w14:textId="08CA7F3A" w:rsidR="00CC12CD" w:rsidRDefault="00CC12CD" w:rsidP="00CC12CD">
      <w:pPr>
        <w:pStyle w:val="ListParagraph"/>
        <w:numPr>
          <w:ilvl w:val="1"/>
          <w:numId w:val="1"/>
        </w:numPr>
        <w:ind w:left="360"/>
      </w:pPr>
      <w:r>
        <w:t xml:space="preserve">Guidelines on the </w:t>
      </w:r>
      <w:r w:rsidRPr="00CC12CD">
        <w:t>implementation of the dual objectives of quarantine and manufacturing at enterprises and factories</w:t>
      </w:r>
      <w:r>
        <w:t xml:space="preserve"> - </w:t>
      </w:r>
      <w:r w:rsidRPr="00CC12CD">
        <w:t xml:space="preserve">Official Dispatch No. 2242/LDTBXH-TLD-PTM </w:t>
      </w:r>
      <w:r>
        <w:t xml:space="preserve">issued by </w:t>
      </w:r>
      <w:r w:rsidRPr="00CC12CD">
        <w:t>the Ministry of Labor, War Invalids and Social Affairs</w:t>
      </w:r>
      <w:r>
        <w:t xml:space="preserve"> dated July 14, 2021.</w:t>
      </w:r>
    </w:p>
    <w:p w14:paraId="6AF571AA" w14:textId="77777777" w:rsidR="00CC12CD" w:rsidRDefault="00CC12CD" w:rsidP="00CC12CD">
      <w:pPr>
        <w:pStyle w:val="ListParagraph"/>
        <w:ind w:left="360"/>
      </w:pPr>
    </w:p>
    <w:p w14:paraId="5CC6EC24" w14:textId="6067CB4A" w:rsidR="00CC12CD" w:rsidRDefault="00CC12CD" w:rsidP="00CC12CD">
      <w:pPr>
        <w:pStyle w:val="ListParagraph"/>
        <w:numPr>
          <w:ilvl w:val="1"/>
          <w:numId w:val="1"/>
        </w:numPr>
        <w:ind w:left="360"/>
      </w:pPr>
      <w:bookmarkStart w:id="0" w:name="_Hlk78971731"/>
      <w:r>
        <w:t xml:space="preserve">Guidelines for COVID-19 prevention and infection risk assessment in workplaces and worker dormitories – </w:t>
      </w:r>
      <w:hyperlink r:id="rId5" w:history="1">
        <w:r w:rsidRPr="00CC12CD">
          <w:rPr>
            <w:rStyle w:val="Hyperlink"/>
          </w:rPr>
          <w:t>Decision 2194/Q</w:t>
        </w:r>
        <w:r w:rsidRPr="00CC12CD">
          <w:rPr>
            <w:rStyle w:val="Hyperlink"/>
          </w:rPr>
          <w:t>D</w:t>
        </w:r>
        <w:r w:rsidRPr="00CC12CD">
          <w:rPr>
            <w:rStyle w:val="Hyperlink"/>
          </w:rPr>
          <w:t>-BCDQG</w:t>
        </w:r>
      </w:hyperlink>
      <w:r>
        <w:t xml:space="preserve"> issued by the National Steering Committee on COVID-19 Prevention and Control dated May 27, 2020.</w:t>
      </w:r>
      <w:bookmarkEnd w:id="0"/>
    </w:p>
    <w:p w14:paraId="00ABEB81" w14:textId="77777777" w:rsidR="00CC12CD" w:rsidRDefault="00CC12CD" w:rsidP="00CC12CD">
      <w:pPr>
        <w:pStyle w:val="ListParagraph"/>
        <w:ind w:left="360"/>
      </w:pPr>
    </w:p>
    <w:p w14:paraId="3FDF7EB4" w14:textId="77152A0D" w:rsidR="00CC12CD" w:rsidRDefault="00CC12CD" w:rsidP="00CC12CD">
      <w:pPr>
        <w:pStyle w:val="ListParagraph"/>
        <w:numPr>
          <w:ilvl w:val="1"/>
          <w:numId w:val="1"/>
        </w:numPr>
        <w:ind w:left="360"/>
      </w:pPr>
      <w:r>
        <w:t>Guidelines on plans for COVID-19 prevention and control in case of COVID-19 cases in business establishments and industrial parks –</w:t>
      </w:r>
      <w:hyperlink r:id="rId6" w:history="1">
        <w:r w:rsidRPr="001D591B">
          <w:rPr>
            <w:rStyle w:val="Hyperlink"/>
          </w:rPr>
          <w:t xml:space="preserve"> Decision 2787/QD-BYT</w:t>
        </w:r>
      </w:hyperlink>
      <w:r>
        <w:t xml:space="preserve"> issued by the Ministry of Health dated June 5, 2021. </w:t>
      </w:r>
    </w:p>
    <w:p w14:paraId="0E474E63" w14:textId="62C49323" w:rsidR="00CC12CD" w:rsidRDefault="00CC12CD" w:rsidP="00CC12CD">
      <w:pPr>
        <w:pStyle w:val="ListParagraph"/>
        <w:ind w:left="360"/>
      </w:pPr>
    </w:p>
    <w:p w14:paraId="73BA495C" w14:textId="4A1E7FEA" w:rsidR="00CC12CD" w:rsidRDefault="00F83854" w:rsidP="00CC12CD">
      <w:pPr>
        <w:pStyle w:val="ListParagraph"/>
        <w:numPr>
          <w:ilvl w:val="1"/>
          <w:numId w:val="1"/>
        </w:numPr>
        <w:ind w:left="360"/>
      </w:pPr>
      <w:r>
        <w:t xml:space="preserve">Interim guidance on the surveillance and prevention of COVID-19 – </w:t>
      </w:r>
      <w:hyperlink r:id="rId7" w:history="1">
        <w:r w:rsidRPr="00F83854">
          <w:rPr>
            <w:rStyle w:val="Hyperlink"/>
          </w:rPr>
          <w:t>Decision 3638/QD-BYT</w:t>
        </w:r>
      </w:hyperlink>
      <w:r>
        <w:t xml:space="preserve"> issued by the Ministry of Health dated July 30, 2021 (this is a technical guide to be implemented at preventive and treatment medical facilities and clinics</w:t>
      </w:r>
      <w:r w:rsidR="00CC12CD">
        <w:t xml:space="preserve"> </w:t>
      </w:r>
      <w:r>
        <w:t xml:space="preserve">nationwide but enterprises can consult on the following sections) </w:t>
      </w:r>
    </w:p>
    <w:p w14:paraId="4C9D37D8" w14:textId="75737222" w:rsidR="00CC12CD" w:rsidRDefault="00F83854" w:rsidP="00CC12CD">
      <w:pPr>
        <w:pStyle w:val="ListParagraph"/>
        <w:numPr>
          <w:ilvl w:val="2"/>
          <w:numId w:val="2"/>
        </w:numPr>
        <w:ind w:left="1170" w:hanging="425"/>
      </w:pPr>
      <w:r w:rsidRPr="00F83854">
        <w:t xml:space="preserve">Instructions for disinfecting and treating </w:t>
      </w:r>
      <w:r>
        <w:t xml:space="preserve">the </w:t>
      </w:r>
      <w:r w:rsidRPr="00F83854">
        <w:t>environment of areas with confirmed cases in the community</w:t>
      </w:r>
      <w:r>
        <w:t xml:space="preserve"> – Appendix 3 and 4 of this </w:t>
      </w:r>
      <w:proofErr w:type="gramStart"/>
      <w:r>
        <w:t>guide</w:t>
      </w:r>
      <w:proofErr w:type="gramEnd"/>
      <w:r>
        <w:t xml:space="preserve">. </w:t>
      </w:r>
    </w:p>
    <w:p w14:paraId="0E2D1FCB" w14:textId="2362371B" w:rsidR="00F83854" w:rsidRDefault="00F83854" w:rsidP="00F83854">
      <w:pPr>
        <w:pStyle w:val="ListParagraph"/>
        <w:numPr>
          <w:ilvl w:val="2"/>
          <w:numId w:val="2"/>
        </w:numPr>
        <w:ind w:left="1170" w:hanging="425"/>
      </w:pPr>
      <w:r>
        <w:lastRenderedPageBreak/>
        <w:t>Instruction for taking off personal protective equipment – Section 2.2.3 of Appendix 2.</w:t>
      </w:r>
    </w:p>
    <w:p w14:paraId="42901007" w14:textId="528A39B2" w:rsidR="00F83854" w:rsidRDefault="00F83854" w:rsidP="00F83854">
      <w:pPr>
        <w:pStyle w:val="ListParagraph"/>
        <w:numPr>
          <w:ilvl w:val="0"/>
          <w:numId w:val="1"/>
        </w:numPr>
        <w:shd w:val="clear" w:color="auto" w:fill="D9E2F3" w:themeFill="accent1" w:themeFillTint="33"/>
        <w:tabs>
          <w:tab w:val="left" w:pos="360"/>
        </w:tabs>
        <w:ind w:left="360"/>
        <w:rPr>
          <w:b/>
          <w:bCs/>
        </w:rPr>
      </w:pPr>
      <w:r>
        <w:rPr>
          <w:b/>
          <w:bCs/>
        </w:rPr>
        <w:t>Policies to support employees and employers</w:t>
      </w:r>
      <w:r w:rsidRPr="00CC12CD">
        <w:rPr>
          <w:b/>
          <w:bCs/>
        </w:rPr>
        <w:t xml:space="preserve"> </w:t>
      </w:r>
    </w:p>
    <w:p w14:paraId="2525E55F" w14:textId="7C8F2CA7" w:rsidR="00F83854" w:rsidRPr="00F83854" w:rsidRDefault="00F83854" w:rsidP="00F83854">
      <w:pPr>
        <w:rPr>
          <w:b/>
        </w:rPr>
      </w:pPr>
      <w:r w:rsidRPr="00F83854">
        <w:rPr>
          <w:bCs/>
        </w:rPr>
        <w:t>Regu</w:t>
      </w:r>
      <w:r>
        <w:t xml:space="preserve">lation regarding the implementation of policies supporting employees and employers affected by the COVID-19 pandemic – </w:t>
      </w:r>
      <w:hyperlink r:id="rId8" w:history="1">
        <w:r w:rsidRPr="00F77EBF">
          <w:rPr>
            <w:rStyle w:val="Hyperlink"/>
          </w:rPr>
          <w:t>Decision no. 23/2021/QD-</w:t>
        </w:r>
        <w:proofErr w:type="spellStart"/>
        <w:r w:rsidRPr="00F77EBF">
          <w:rPr>
            <w:rStyle w:val="Hyperlink"/>
          </w:rPr>
          <w:t>TTg</w:t>
        </w:r>
        <w:proofErr w:type="spellEnd"/>
      </w:hyperlink>
      <w:r>
        <w:t xml:space="preserve"> issued by the Prime Minister dated July 7, 2021. </w:t>
      </w:r>
    </w:p>
    <w:p w14:paraId="12DE43AF" w14:textId="77777777" w:rsidR="00F83854" w:rsidRPr="00CC12CD" w:rsidRDefault="00F83854" w:rsidP="00F83854"/>
    <w:sectPr w:rsidR="00F83854" w:rsidRPr="00CC1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F7D77"/>
    <w:multiLevelType w:val="hybridMultilevel"/>
    <w:tmpl w:val="2B14F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26332"/>
    <w:multiLevelType w:val="hybridMultilevel"/>
    <w:tmpl w:val="85545226"/>
    <w:lvl w:ilvl="0" w:tplc="E51E58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91EEF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E9"/>
    <w:rsid w:val="000E506C"/>
    <w:rsid w:val="001D591B"/>
    <w:rsid w:val="0047780B"/>
    <w:rsid w:val="00624EEA"/>
    <w:rsid w:val="008B56E7"/>
    <w:rsid w:val="00900A81"/>
    <w:rsid w:val="009428B3"/>
    <w:rsid w:val="00BF2484"/>
    <w:rsid w:val="00CC12CD"/>
    <w:rsid w:val="00DF23E9"/>
    <w:rsid w:val="00F77EBF"/>
    <w:rsid w:val="00F8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EAD1A"/>
  <w15:chartTrackingRefBased/>
  <w15:docId w15:val="{8B95F03B-DADF-4B3D-A580-5C738F20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3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78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asean-my.sharepoint.com/:w:/g/personal/pnguyen_usasean_org1/ETkiuH5e0CNHk0zGO7vLNGcBNfvjDMP3KSY8Dnccr8VIbQ?e=x6Xyh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asean-my.sharepoint.com/:w:/g/personal/pnguyen_usasean_org1/EWcOqAOTlCxGvCN1Yn0-aEoBh0deofPjPSsPwuLhL4wi3Q?e=fSaaW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asean-my.sharepoint.com/:w:/g/personal/pnguyen_usasean_org1/EXMQBCI7SX5Kl4RF2yAWlkoBquH99Ozjmt08kej11wNl7A?e=VsinyM" TargetMode="External"/><Relationship Id="rId5" Type="http://schemas.openxmlformats.org/officeDocument/2006/relationships/hyperlink" Target="https://usasean-my.sharepoint.com/:w:/g/personal/pnguyen_usasean_org1/EaLAGm4IpNBMrWga8dKey4YBHuQIEJo2LRnJ2a-qSaKGiA?e=RQcrx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Vu</dc:creator>
  <cp:keywords/>
  <dc:description/>
  <cp:lastModifiedBy>Nguyen Hoai Phuong</cp:lastModifiedBy>
  <cp:revision>5</cp:revision>
  <dcterms:created xsi:type="dcterms:W3CDTF">2021-08-05T10:17:00Z</dcterms:created>
  <dcterms:modified xsi:type="dcterms:W3CDTF">2021-08-06T11:12:00Z</dcterms:modified>
</cp:coreProperties>
</file>